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13" w:rsidRPr="007C4E73" w:rsidRDefault="00B362BB">
      <w:pPr>
        <w:spacing w:line="360" w:lineRule="auto"/>
        <w:jc w:val="center"/>
        <w:outlineLvl w:val="0"/>
        <w:rPr>
          <w:rFonts w:ascii="方正小标宋简体" w:eastAsia="方正小标宋简体" w:hAnsiTheme="minorEastAsia" w:cstheme="minorEastAsia" w:hint="eastAsia"/>
          <w:bCs/>
          <w:kern w:val="2"/>
          <w:sz w:val="44"/>
          <w:szCs w:val="44"/>
        </w:rPr>
      </w:pPr>
      <w:r w:rsidRPr="007C4E73">
        <w:rPr>
          <w:rFonts w:ascii="方正小标宋简体" w:eastAsia="方正小标宋简体" w:hAnsiTheme="minorEastAsia" w:cstheme="minorEastAsia" w:hint="eastAsia"/>
          <w:bCs/>
          <w:kern w:val="2"/>
          <w:sz w:val="44"/>
          <w:szCs w:val="44"/>
        </w:rPr>
        <w:t>石棉县公立医院集团（石棉县总医院）消防维保院内议价公告</w:t>
      </w:r>
    </w:p>
    <w:p w:rsidR="00E26213" w:rsidRDefault="00E26213">
      <w:pPr>
        <w:spacing w:line="360" w:lineRule="auto"/>
        <w:jc w:val="center"/>
        <w:outlineLvl w:val="0"/>
        <w:rPr>
          <w:rFonts w:ascii="仿宋_GB2312" w:eastAsia="仿宋_GB2312" w:hAnsiTheme="minorEastAsia" w:cstheme="minorEastAsia"/>
          <w:bCs/>
          <w:kern w:val="2"/>
          <w:sz w:val="44"/>
          <w:szCs w:val="44"/>
        </w:rPr>
      </w:pPr>
    </w:p>
    <w:p w:rsidR="00E26213" w:rsidRDefault="00B362BB">
      <w:pPr>
        <w:rPr>
          <w:rFonts w:ascii="仿宋_GB2312" w:eastAsia="仿宋_GB2312"/>
          <w:sz w:val="30"/>
          <w:szCs w:val="30"/>
        </w:rPr>
      </w:pPr>
      <w:r>
        <w:rPr>
          <w:rFonts w:ascii="仿宋_GB2312" w:eastAsia="仿宋_GB2312" w:hint="eastAsia"/>
          <w:sz w:val="30"/>
          <w:szCs w:val="30"/>
        </w:rPr>
        <w:t>一、项目名称：石棉县中医医院 “消防设施设备维护保养”院内议价项目</w:t>
      </w:r>
    </w:p>
    <w:p w:rsidR="00E26213" w:rsidRDefault="00B362BB">
      <w:pPr>
        <w:rPr>
          <w:rFonts w:ascii="仿宋_GB2312" w:eastAsia="仿宋_GB2312"/>
          <w:sz w:val="30"/>
          <w:szCs w:val="30"/>
        </w:rPr>
      </w:pPr>
      <w:r>
        <w:rPr>
          <w:rFonts w:ascii="仿宋_GB2312" w:eastAsia="仿宋_GB2312" w:hint="eastAsia"/>
          <w:sz w:val="30"/>
          <w:szCs w:val="30"/>
        </w:rPr>
        <w:t xml:space="preserve">二、方式：院内议价 </w:t>
      </w:r>
    </w:p>
    <w:p w:rsidR="00E26213" w:rsidRDefault="00B362BB">
      <w:pPr>
        <w:jc w:val="left"/>
        <w:rPr>
          <w:rFonts w:ascii="仿宋_GB2312" w:eastAsia="仿宋_GB2312"/>
          <w:sz w:val="30"/>
          <w:szCs w:val="30"/>
        </w:rPr>
      </w:pPr>
      <w:bookmarkStart w:id="0" w:name="_Toc413326191"/>
      <w:r>
        <w:rPr>
          <w:rFonts w:ascii="仿宋_GB2312" w:eastAsia="仿宋_GB2312" w:hint="eastAsia"/>
          <w:sz w:val="30"/>
          <w:szCs w:val="30"/>
        </w:rPr>
        <w:t>三、</w:t>
      </w:r>
      <w:bookmarkEnd w:id="0"/>
      <w:r>
        <w:rPr>
          <w:rFonts w:ascii="仿宋_GB2312" w:eastAsia="仿宋_GB2312" w:hint="eastAsia"/>
          <w:sz w:val="30"/>
          <w:szCs w:val="30"/>
        </w:rPr>
        <w:t>院内议价项目基本情况：拟对石棉县中医医院消防设施设备进行维护保养；最高限价：</w:t>
      </w:r>
      <w:r w:rsidR="003630AF">
        <w:rPr>
          <w:rFonts w:ascii="仿宋_GB2312" w:eastAsia="仿宋_GB2312" w:hint="eastAsia"/>
          <w:sz w:val="30"/>
          <w:szCs w:val="30"/>
        </w:rPr>
        <w:t>2.98</w:t>
      </w:r>
      <w:r>
        <w:rPr>
          <w:rFonts w:ascii="仿宋_GB2312" w:eastAsia="仿宋_GB2312" w:hint="eastAsia"/>
          <w:sz w:val="30"/>
          <w:szCs w:val="30"/>
        </w:rPr>
        <w:t>万元/15个月（合同期限为15个月），每月进行一次以上的日常检查，重大节假日</w:t>
      </w:r>
      <w:r w:rsidRPr="00170FD0">
        <w:rPr>
          <w:rFonts w:ascii="仿宋_GB2312" w:eastAsia="仿宋_GB2312" w:hint="eastAsia"/>
          <w:sz w:val="30"/>
          <w:szCs w:val="30"/>
        </w:rPr>
        <w:t>（五一、国庆、春节节前各增加一次日常检查）</w:t>
      </w:r>
      <w:r>
        <w:rPr>
          <w:rFonts w:ascii="仿宋_GB2312" w:eastAsia="仿宋_GB2312" w:hint="eastAsia"/>
          <w:sz w:val="30"/>
          <w:szCs w:val="30"/>
        </w:rPr>
        <w:t>，并</w:t>
      </w:r>
      <w:proofErr w:type="gramStart"/>
      <w:r>
        <w:rPr>
          <w:rFonts w:ascii="仿宋_GB2312" w:eastAsia="仿宋_GB2312" w:hint="eastAsia"/>
          <w:sz w:val="30"/>
          <w:szCs w:val="30"/>
        </w:rPr>
        <w:t>出具维保报告</w:t>
      </w:r>
      <w:proofErr w:type="gramEnd"/>
      <w:r w:rsidRPr="00170FD0">
        <w:rPr>
          <w:rFonts w:ascii="仿宋_GB2312" w:eastAsia="仿宋_GB2312" w:hint="eastAsia"/>
          <w:sz w:val="30"/>
          <w:szCs w:val="30"/>
        </w:rPr>
        <w:t>（报告需有维保人员和院方</w:t>
      </w:r>
      <w:proofErr w:type="gramStart"/>
      <w:r w:rsidRPr="00170FD0">
        <w:rPr>
          <w:rFonts w:ascii="仿宋_GB2312" w:eastAsia="仿宋_GB2312" w:hint="eastAsia"/>
          <w:sz w:val="30"/>
          <w:szCs w:val="30"/>
        </w:rPr>
        <w:t>人员双</w:t>
      </w:r>
      <w:proofErr w:type="gramEnd"/>
      <w:r w:rsidRPr="00170FD0">
        <w:rPr>
          <w:rFonts w:ascii="仿宋_GB2312" w:eastAsia="仿宋_GB2312" w:hint="eastAsia"/>
          <w:sz w:val="30"/>
          <w:szCs w:val="30"/>
        </w:rPr>
        <w:t>签字后方有效）</w:t>
      </w:r>
      <w:r>
        <w:rPr>
          <w:rFonts w:ascii="仿宋_GB2312" w:eastAsia="仿宋_GB2312" w:hint="eastAsia"/>
          <w:sz w:val="30"/>
          <w:szCs w:val="30"/>
        </w:rPr>
        <w:t>交总务科存档。</w:t>
      </w:r>
      <w:bookmarkStart w:id="1" w:name="_GoBack"/>
      <w:bookmarkEnd w:id="1"/>
    </w:p>
    <w:p w:rsidR="00E26213" w:rsidRDefault="00B362BB">
      <w:pPr>
        <w:rPr>
          <w:rFonts w:ascii="黑体" w:eastAsia="黑体" w:hAnsi="黑体"/>
          <w:sz w:val="30"/>
          <w:szCs w:val="30"/>
        </w:rPr>
      </w:pPr>
      <w:r>
        <w:rPr>
          <w:rFonts w:ascii="黑体" w:eastAsia="黑体" w:hAnsi="黑体" w:hint="eastAsia"/>
          <w:sz w:val="30"/>
          <w:szCs w:val="30"/>
        </w:rPr>
        <w:t>四、供应商参加本次议价活动必须具备下列资质条件：</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5191"/>
        <w:gridCol w:w="1056"/>
        <w:gridCol w:w="2117"/>
      </w:tblGrid>
      <w:tr w:rsidR="00E26213">
        <w:trPr>
          <w:trHeight w:val="397"/>
          <w:jc w:val="center"/>
        </w:trPr>
        <w:tc>
          <w:tcPr>
            <w:tcW w:w="934" w:type="dxa"/>
            <w:vAlign w:val="center"/>
          </w:tcPr>
          <w:p w:rsidR="00E26213" w:rsidRDefault="00B362BB">
            <w:pPr>
              <w:jc w:val="center"/>
              <w:rPr>
                <w:rFonts w:ascii="仿宋_GB2312" w:eastAsia="仿宋_GB2312"/>
                <w:b/>
                <w:sz w:val="30"/>
                <w:szCs w:val="30"/>
              </w:rPr>
            </w:pPr>
            <w:r>
              <w:rPr>
                <w:rFonts w:ascii="仿宋_GB2312" w:eastAsia="仿宋_GB2312" w:hint="eastAsia"/>
                <w:b/>
                <w:sz w:val="30"/>
                <w:szCs w:val="30"/>
              </w:rPr>
              <w:t>序号</w:t>
            </w:r>
          </w:p>
        </w:tc>
        <w:tc>
          <w:tcPr>
            <w:tcW w:w="5191" w:type="dxa"/>
            <w:vAlign w:val="center"/>
          </w:tcPr>
          <w:p w:rsidR="00E26213" w:rsidRDefault="00B362BB">
            <w:pPr>
              <w:jc w:val="center"/>
              <w:rPr>
                <w:rFonts w:ascii="仿宋_GB2312" w:eastAsia="仿宋_GB2312"/>
                <w:b/>
                <w:sz w:val="30"/>
                <w:szCs w:val="30"/>
              </w:rPr>
            </w:pPr>
            <w:r>
              <w:rPr>
                <w:rFonts w:ascii="仿宋_GB2312" w:eastAsia="仿宋_GB2312" w:hint="eastAsia"/>
                <w:b/>
                <w:sz w:val="30"/>
                <w:szCs w:val="30"/>
              </w:rPr>
              <w:t>材  料  名  称</w:t>
            </w:r>
          </w:p>
        </w:tc>
        <w:tc>
          <w:tcPr>
            <w:tcW w:w="1056" w:type="dxa"/>
            <w:vAlign w:val="center"/>
          </w:tcPr>
          <w:p w:rsidR="00E26213" w:rsidRDefault="00B362BB">
            <w:pPr>
              <w:jc w:val="center"/>
              <w:rPr>
                <w:rFonts w:ascii="仿宋_GB2312" w:eastAsia="仿宋_GB2312"/>
                <w:b/>
                <w:sz w:val="30"/>
                <w:szCs w:val="30"/>
              </w:rPr>
            </w:pPr>
            <w:r>
              <w:rPr>
                <w:rFonts w:ascii="仿宋_GB2312" w:eastAsia="仿宋_GB2312" w:hint="eastAsia"/>
                <w:b/>
                <w:sz w:val="30"/>
                <w:szCs w:val="30"/>
              </w:rPr>
              <w:t>份数</w:t>
            </w:r>
          </w:p>
        </w:tc>
        <w:tc>
          <w:tcPr>
            <w:tcW w:w="2117" w:type="dxa"/>
            <w:vAlign w:val="center"/>
          </w:tcPr>
          <w:p w:rsidR="00E26213" w:rsidRDefault="00B362BB">
            <w:pPr>
              <w:jc w:val="center"/>
              <w:rPr>
                <w:rFonts w:ascii="仿宋_GB2312" w:eastAsia="仿宋_GB2312"/>
                <w:b/>
                <w:sz w:val="30"/>
                <w:szCs w:val="30"/>
              </w:rPr>
            </w:pPr>
            <w:r>
              <w:rPr>
                <w:rFonts w:ascii="仿宋_GB2312" w:eastAsia="仿宋_GB2312" w:hint="eastAsia"/>
                <w:b/>
                <w:sz w:val="30"/>
                <w:szCs w:val="30"/>
              </w:rPr>
              <w:t>要  求</w:t>
            </w:r>
          </w:p>
        </w:tc>
      </w:tr>
      <w:tr w:rsidR="00E26213">
        <w:trPr>
          <w:trHeight w:val="677"/>
          <w:jc w:val="center"/>
        </w:trPr>
        <w:tc>
          <w:tcPr>
            <w:tcW w:w="934"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1</w:t>
            </w:r>
          </w:p>
        </w:tc>
        <w:tc>
          <w:tcPr>
            <w:tcW w:w="5191" w:type="dxa"/>
            <w:vAlign w:val="center"/>
          </w:tcPr>
          <w:p w:rsidR="00E26213" w:rsidRDefault="00B362BB">
            <w:pPr>
              <w:jc w:val="center"/>
              <w:rPr>
                <w:rFonts w:ascii="仿宋_GB2312" w:eastAsia="仿宋_GB2312"/>
                <w:color w:val="FF0000"/>
                <w:sz w:val="21"/>
                <w:szCs w:val="21"/>
              </w:rPr>
            </w:pPr>
            <w:r>
              <w:rPr>
                <w:rFonts w:ascii="仿宋_GB2312" w:eastAsia="仿宋_GB2312" w:hint="eastAsia"/>
                <w:sz w:val="21"/>
                <w:szCs w:val="21"/>
              </w:rPr>
              <w:t>具备消防设维保工程专业承包贰级及以上资质</w:t>
            </w:r>
          </w:p>
        </w:tc>
        <w:tc>
          <w:tcPr>
            <w:tcW w:w="1056" w:type="dxa"/>
            <w:vAlign w:val="center"/>
          </w:tcPr>
          <w:p w:rsidR="00E26213" w:rsidRDefault="00E26213">
            <w:pPr>
              <w:jc w:val="center"/>
              <w:rPr>
                <w:rFonts w:ascii="仿宋_GB2312" w:eastAsia="仿宋_GB2312"/>
                <w:sz w:val="21"/>
                <w:szCs w:val="21"/>
              </w:rPr>
            </w:pPr>
          </w:p>
        </w:tc>
        <w:tc>
          <w:tcPr>
            <w:tcW w:w="2117"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原件或加盖公司印章的复印件</w:t>
            </w:r>
          </w:p>
        </w:tc>
      </w:tr>
      <w:tr w:rsidR="00E26213">
        <w:trPr>
          <w:trHeight w:val="677"/>
          <w:jc w:val="center"/>
        </w:trPr>
        <w:tc>
          <w:tcPr>
            <w:tcW w:w="934"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2</w:t>
            </w:r>
          </w:p>
        </w:tc>
        <w:tc>
          <w:tcPr>
            <w:tcW w:w="5191"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具有校验期内的营业执照</w:t>
            </w:r>
          </w:p>
        </w:tc>
        <w:tc>
          <w:tcPr>
            <w:tcW w:w="1056"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1份</w:t>
            </w:r>
          </w:p>
        </w:tc>
        <w:tc>
          <w:tcPr>
            <w:tcW w:w="2117"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原件或加盖公司印章的复印件</w:t>
            </w:r>
          </w:p>
        </w:tc>
      </w:tr>
      <w:tr w:rsidR="00E26213">
        <w:trPr>
          <w:trHeight w:val="151"/>
          <w:jc w:val="center"/>
        </w:trPr>
        <w:tc>
          <w:tcPr>
            <w:tcW w:w="934"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3</w:t>
            </w:r>
          </w:p>
        </w:tc>
        <w:tc>
          <w:tcPr>
            <w:tcW w:w="5191"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法人授权委托书</w:t>
            </w:r>
          </w:p>
        </w:tc>
        <w:tc>
          <w:tcPr>
            <w:tcW w:w="1056"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1份</w:t>
            </w:r>
          </w:p>
        </w:tc>
        <w:tc>
          <w:tcPr>
            <w:tcW w:w="2117"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原件。如为法人本人参加则不需提供。</w:t>
            </w:r>
          </w:p>
        </w:tc>
      </w:tr>
      <w:tr w:rsidR="00E26213">
        <w:trPr>
          <w:trHeight w:val="368"/>
          <w:jc w:val="center"/>
        </w:trPr>
        <w:tc>
          <w:tcPr>
            <w:tcW w:w="934"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4</w:t>
            </w:r>
          </w:p>
        </w:tc>
        <w:tc>
          <w:tcPr>
            <w:tcW w:w="5191"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法人身份证复印件</w:t>
            </w:r>
          </w:p>
        </w:tc>
        <w:tc>
          <w:tcPr>
            <w:tcW w:w="1056"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1份</w:t>
            </w:r>
          </w:p>
        </w:tc>
        <w:tc>
          <w:tcPr>
            <w:tcW w:w="2117"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加盖公司印章的复印件</w:t>
            </w:r>
          </w:p>
        </w:tc>
      </w:tr>
      <w:tr w:rsidR="00E26213">
        <w:trPr>
          <w:trHeight w:val="726"/>
          <w:jc w:val="center"/>
        </w:trPr>
        <w:tc>
          <w:tcPr>
            <w:tcW w:w="934"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5</w:t>
            </w:r>
          </w:p>
        </w:tc>
        <w:tc>
          <w:tcPr>
            <w:tcW w:w="5191"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经办人身份证复印件</w:t>
            </w:r>
          </w:p>
        </w:tc>
        <w:tc>
          <w:tcPr>
            <w:tcW w:w="1056"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1份</w:t>
            </w:r>
          </w:p>
        </w:tc>
        <w:tc>
          <w:tcPr>
            <w:tcW w:w="2117" w:type="dxa"/>
            <w:vAlign w:val="center"/>
          </w:tcPr>
          <w:p w:rsidR="00E26213" w:rsidRDefault="00B362BB">
            <w:pPr>
              <w:jc w:val="center"/>
              <w:rPr>
                <w:rFonts w:ascii="仿宋_GB2312" w:eastAsia="仿宋_GB2312"/>
                <w:sz w:val="21"/>
                <w:szCs w:val="21"/>
              </w:rPr>
            </w:pPr>
            <w:r>
              <w:rPr>
                <w:rFonts w:ascii="仿宋_GB2312" w:eastAsia="仿宋_GB2312" w:hint="eastAsia"/>
                <w:sz w:val="21"/>
                <w:szCs w:val="21"/>
              </w:rPr>
              <w:t>加盖公司印章的复印件</w:t>
            </w:r>
          </w:p>
        </w:tc>
      </w:tr>
    </w:tbl>
    <w:p w:rsidR="00E26213" w:rsidRDefault="00B362BB">
      <w:pPr>
        <w:spacing w:line="360" w:lineRule="auto"/>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五、</w:t>
      </w:r>
      <w:proofErr w:type="gramStart"/>
      <w:r>
        <w:rPr>
          <w:rFonts w:ascii="仿宋_GB2312" w:eastAsia="仿宋_GB2312" w:hAnsiTheme="minorEastAsia" w:cstheme="minorEastAsia" w:hint="eastAsia"/>
          <w:b/>
          <w:bCs/>
          <w:kern w:val="2"/>
          <w:sz w:val="30"/>
          <w:szCs w:val="30"/>
        </w:rPr>
        <w:t>维保项目</w:t>
      </w:r>
      <w:proofErr w:type="gramEnd"/>
      <w:r>
        <w:rPr>
          <w:rFonts w:ascii="仿宋_GB2312" w:eastAsia="仿宋_GB2312" w:hAnsiTheme="minorEastAsia" w:cstheme="minorEastAsia" w:hint="eastAsia"/>
          <w:b/>
          <w:bCs/>
          <w:kern w:val="2"/>
          <w:sz w:val="30"/>
          <w:szCs w:val="30"/>
        </w:rPr>
        <w:t>基本情况</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石棉县中医院消防设施设备系统需进行定期维保。</w:t>
      </w:r>
      <w:proofErr w:type="gramStart"/>
      <w:r>
        <w:rPr>
          <w:rFonts w:ascii="仿宋_GB2312" w:eastAsia="仿宋_GB2312" w:hAnsiTheme="minorEastAsia" w:cstheme="minorEastAsia" w:hint="eastAsia"/>
          <w:kern w:val="2"/>
          <w:sz w:val="30"/>
          <w:szCs w:val="30"/>
        </w:rPr>
        <w:t>维保总</w:t>
      </w:r>
      <w:proofErr w:type="gramEnd"/>
      <w:r>
        <w:rPr>
          <w:rFonts w:ascii="仿宋_GB2312" w:eastAsia="仿宋_GB2312" w:hAnsiTheme="minorEastAsia" w:cstheme="minorEastAsia" w:hint="eastAsia"/>
          <w:kern w:val="2"/>
          <w:sz w:val="30"/>
          <w:szCs w:val="30"/>
        </w:rPr>
        <w:t>建筑面积共计22826平方米，地下1层，地上9层（含发热门诊）。</w:t>
      </w:r>
    </w:p>
    <w:p w:rsidR="00E26213" w:rsidRDefault="00B362BB">
      <w:pPr>
        <w:spacing w:line="360" w:lineRule="auto"/>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lastRenderedPageBreak/>
        <w:t>六、</w:t>
      </w:r>
      <w:proofErr w:type="gramStart"/>
      <w:r>
        <w:rPr>
          <w:rFonts w:ascii="仿宋_GB2312" w:eastAsia="仿宋_GB2312" w:hAnsiTheme="minorEastAsia" w:cstheme="minorEastAsia" w:hint="eastAsia"/>
          <w:b/>
          <w:bCs/>
          <w:kern w:val="2"/>
          <w:sz w:val="30"/>
          <w:szCs w:val="30"/>
        </w:rPr>
        <w:t>维保范围</w:t>
      </w:r>
      <w:proofErr w:type="gramEnd"/>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2.1火灾自动报警系统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2.2自动喷水灭火系统</w:t>
      </w:r>
    </w:p>
    <w:p w:rsidR="00E26213" w:rsidRDefault="00B362BB">
      <w:pPr>
        <w:pStyle w:val="a3"/>
        <w:rPr>
          <w:rFonts w:ascii="仿宋_GB2312" w:eastAsia="仿宋_GB2312" w:hAnsiTheme="minorEastAsia" w:cstheme="minorEastAsia"/>
          <w:sz w:val="30"/>
          <w:szCs w:val="30"/>
        </w:rPr>
      </w:pPr>
      <w:r>
        <w:rPr>
          <w:rFonts w:ascii="仿宋_GB2312" w:eastAsia="仿宋_GB2312" w:hAnsiTheme="minorEastAsia" w:cstheme="minorEastAsia" w:hint="eastAsia"/>
          <w:kern w:val="2"/>
          <w:sz w:val="30"/>
          <w:szCs w:val="30"/>
        </w:rPr>
        <w:t xml:space="preserve">    2.3消火栓系统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2.4可燃气体探测报警系统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2.5消防给水系统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2.6气体灭火系统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2.7应急照明、疏散指示系统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2.8消防应急广播与通讯系统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2.9防火分隔系统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2.10防排烟系统</w:t>
      </w:r>
    </w:p>
    <w:p w:rsidR="00E26213" w:rsidRDefault="00B362BB">
      <w:pPr>
        <w:spacing w:line="360" w:lineRule="auto"/>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七.消防设施设备明细表</w:t>
      </w:r>
    </w:p>
    <w:tbl>
      <w:tblPr>
        <w:tblW w:w="5000" w:type="pct"/>
        <w:jc w:val="center"/>
        <w:tblLook w:val="04A0"/>
      </w:tblPr>
      <w:tblGrid>
        <w:gridCol w:w="1268"/>
        <w:gridCol w:w="3716"/>
        <w:gridCol w:w="2272"/>
        <w:gridCol w:w="1266"/>
      </w:tblGrid>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序号</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设备名称</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数量</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备注</w:t>
            </w: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火灾自动报警主机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消防多线控制盘</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消防专用电话总机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4</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防火门监控主机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5</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消防电源监控主机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6</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电气火灾监控主机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7</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应急照明集中控制柜</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9</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8</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气体灭火控制主机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9</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火灾广播控制盘</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10</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24V电源盘</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11</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图形显示装置</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12</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总线短路隔离模块</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84</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13</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声光报警器</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62</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14</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信号阀</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15</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水流指示器</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lastRenderedPageBreak/>
              <w:t>16</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火灾光报警器</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27</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17</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输入输出模块</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74</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18</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送风阀</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19</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温感</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13</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20</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烟感</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992</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21</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手动报警按钮</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67</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22</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消火栓按钮</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88</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23</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湿式报警阀组</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24</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消防风机</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25</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喷淋泵</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26</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消火栓泵</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27</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液位传感器</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28</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火灾</w:t>
            </w:r>
            <w:proofErr w:type="gramStart"/>
            <w:r>
              <w:rPr>
                <w:rFonts w:ascii="仿宋_GB2312" w:eastAsia="仿宋_GB2312" w:cs="宋体" w:hint="eastAsia"/>
                <w:color w:val="000000"/>
                <w:sz w:val="21"/>
                <w:szCs w:val="21"/>
              </w:rPr>
              <w:t>显示盘</w:t>
            </w:r>
            <w:proofErr w:type="gramEnd"/>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29</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排烟阀</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8</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30</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联动控制模块</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10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31</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室内消火栓箱</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95</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32</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喷头</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5703</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33</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消防分机电话</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20</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81"/>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34</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应急照明灯具</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331</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r w:rsidR="00E26213">
        <w:trPr>
          <w:trHeight w:val="397"/>
          <w:jc w:val="center"/>
        </w:trPr>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35</w:t>
            </w:r>
          </w:p>
        </w:tc>
        <w:tc>
          <w:tcPr>
            <w:tcW w:w="2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疏散指示灯具</w:t>
            </w:r>
          </w:p>
        </w:tc>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B362BB">
            <w:pPr>
              <w:widowControl/>
              <w:jc w:val="center"/>
              <w:textAlignment w:val="center"/>
              <w:rPr>
                <w:rFonts w:ascii="仿宋_GB2312" w:eastAsia="仿宋_GB2312" w:cs="宋体"/>
                <w:color w:val="000000"/>
                <w:sz w:val="21"/>
                <w:szCs w:val="21"/>
              </w:rPr>
            </w:pPr>
            <w:r>
              <w:rPr>
                <w:rFonts w:ascii="仿宋_GB2312" w:eastAsia="仿宋_GB2312" w:cs="宋体" w:hint="eastAsia"/>
                <w:color w:val="000000"/>
                <w:sz w:val="21"/>
                <w:szCs w:val="21"/>
              </w:rPr>
              <w:t>353</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6213" w:rsidRDefault="00E26213">
            <w:pPr>
              <w:jc w:val="center"/>
              <w:rPr>
                <w:rFonts w:ascii="仿宋_GB2312" w:eastAsia="仿宋_GB2312" w:cs="宋体"/>
                <w:color w:val="000000"/>
                <w:sz w:val="21"/>
                <w:szCs w:val="21"/>
              </w:rPr>
            </w:pPr>
          </w:p>
        </w:tc>
      </w:tr>
    </w:tbl>
    <w:p w:rsidR="00E26213" w:rsidRDefault="00B362BB">
      <w:pPr>
        <w:spacing w:line="360" w:lineRule="auto"/>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八、主要服务内容</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1.火灾自动报警系统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⑴每月检查内容</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每月检查以下内容并同消防控制室值班人员共同</w:t>
      </w:r>
      <w:proofErr w:type="gramStart"/>
      <w:r>
        <w:rPr>
          <w:rFonts w:ascii="仿宋_GB2312" w:eastAsia="仿宋_GB2312" w:hAnsiTheme="minorEastAsia" w:cstheme="minorEastAsia" w:hint="eastAsia"/>
          <w:kern w:val="2"/>
          <w:sz w:val="30"/>
          <w:szCs w:val="30"/>
        </w:rPr>
        <w:t>做好维保记录</w:t>
      </w:r>
      <w:proofErr w:type="gramEnd"/>
      <w:r>
        <w:rPr>
          <w:rFonts w:ascii="仿宋_GB2312" w:eastAsia="仿宋_GB2312" w:hAnsiTheme="minorEastAsia" w:cstheme="minorEastAsia" w:hint="eastAsia"/>
          <w:kern w:val="2"/>
          <w:sz w:val="30"/>
          <w:szCs w:val="30"/>
        </w:rPr>
        <w:t>：</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①每月检测主控屏一次，发现问题，立即处理，保障各回路正常工作。</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②每月检查主控屏电池组、清理一次，每季度保养试验一次。</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③每月检查火灾报警控制器自检功能、消音复位功能、故障</w:t>
      </w:r>
      <w:r>
        <w:rPr>
          <w:rFonts w:ascii="仿宋_GB2312" w:eastAsia="仿宋_GB2312" w:hAnsiTheme="minorEastAsia" w:cstheme="minorEastAsia" w:hint="eastAsia"/>
          <w:kern w:val="2"/>
          <w:sz w:val="30"/>
          <w:szCs w:val="30"/>
        </w:rPr>
        <w:lastRenderedPageBreak/>
        <w:t>报警功能、火灾记忆功能和主备电源自动转换功能。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④每月检查消防控制室工作环境以及火灾报警控制器、联动控制器、</w:t>
      </w:r>
      <w:proofErr w:type="gramStart"/>
      <w:r>
        <w:rPr>
          <w:rFonts w:ascii="仿宋_GB2312" w:eastAsia="仿宋_GB2312" w:hAnsiTheme="minorEastAsia" w:cstheme="minorEastAsia" w:hint="eastAsia"/>
          <w:kern w:val="2"/>
          <w:sz w:val="30"/>
          <w:szCs w:val="30"/>
        </w:rPr>
        <w:t>层显器</w:t>
      </w:r>
      <w:proofErr w:type="gramEnd"/>
      <w:r>
        <w:rPr>
          <w:rFonts w:ascii="仿宋_GB2312" w:eastAsia="仿宋_GB2312" w:hAnsiTheme="minorEastAsia" w:cstheme="minorEastAsia" w:hint="eastAsia"/>
          <w:kern w:val="2"/>
          <w:sz w:val="30"/>
          <w:szCs w:val="30"/>
        </w:rPr>
        <w:t>、探测器。</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⑤每月检查探测点的显示，联动程序。</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⑥每月检查备用电的充放电功能。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⑦每月检查探测器清洁度、灵敏度、自动环境补偿、预报警、响应域值、通讯故障及其他必要的功能试验。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⑧每月检查模块通讯故障、自动诊断、历史记录。</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⑨每月检查手动报警按钮外观有无损坏，报警及指示灯是否正常。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⑩每月检查（警铃）音响度、灵敏度，部位的正确。</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⑵每季度检查内容</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每季度检查以下内容并同消防控制室值班人员共同</w:t>
      </w:r>
      <w:proofErr w:type="gramStart"/>
      <w:r>
        <w:rPr>
          <w:rFonts w:ascii="仿宋_GB2312" w:eastAsia="仿宋_GB2312" w:hAnsiTheme="minorEastAsia" w:cstheme="minorEastAsia" w:hint="eastAsia"/>
          <w:kern w:val="2"/>
          <w:sz w:val="30"/>
          <w:szCs w:val="30"/>
        </w:rPr>
        <w:t>做好维保记录</w:t>
      </w:r>
      <w:proofErr w:type="gramEnd"/>
      <w:r>
        <w:rPr>
          <w:rFonts w:ascii="仿宋_GB2312" w:eastAsia="仿宋_GB2312" w:hAnsiTheme="minorEastAsia" w:cstheme="minorEastAsia" w:hint="eastAsia"/>
          <w:kern w:val="2"/>
          <w:sz w:val="30"/>
          <w:szCs w:val="30"/>
        </w:rPr>
        <w:t>：</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①每季度采用检测设备分期分批试验探测器的工作情况。</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②每季度</w:t>
      </w:r>
      <w:proofErr w:type="gramStart"/>
      <w:r>
        <w:rPr>
          <w:rFonts w:ascii="仿宋_GB2312" w:eastAsia="仿宋_GB2312" w:hAnsiTheme="minorEastAsia" w:cstheme="minorEastAsia" w:hint="eastAsia"/>
          <w:kern w:val="2"/>
          <w:sz w:val="30"/>
          <w:szCs w:val="30"/>
        </w:rPr>
        <w:t>试验全</w:t>
      </w:r>
      <w:proofErr w:type="gramEnd"/>
      <w:r>
        <w:rPr>
          <w:rFonts w:ascii="仿宋_GB2312" w:eastAsia="仿宋_GB2312" w:hAnsiTheme="minorEastAsia" w:cstheme="minorEastAsia" w:hint="eastAsia"/>
          <w:kern w:val="2"/>
          <w:sz w:val="30"/>
          <w:szCs w:val="30"/>
        </w:rPr>
        <w:t>手动报警按钮。</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③每季度试验联动控制设备的自动或手动控制功能及显示功能。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④每季度对系统回路电压、回路地阻、回路对地电阻进行检查、测试。</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⑤每季度对消防电话插孔和对讲电话进行通话试验。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⑥每季度进行一次综合试验，如检验层报警，保障上一层和</w:t>
      </w:r>
      <w:r>
        <w:rPr>
          <w:rFonts w:ascii="仿宋_GB2312" w:eastAsia="仿宋_GB2312" w:hAnsiTheme="minorEastAsia" w:cstheme="minorEastAsia" w:hint="eastAsia"/>
          <w:kern w:val="2"/>
          <w:sz w:val="30"/>
          <w:szCs w:val="30"/>
        </w:rPr>
        <w:lastRenderedPageBreak/>
        <w:t>下一层同步启动报警。</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⑦综合上述各分项试验，每季度测试消防主控屏的报警、故障显示、消音、复位、火灾记忆功能，并进行消防主电源和备用电源的自动切换模拟试验和充放电实验，对非消防电源切换、空调、疏散指示标志等设备的联动进行模拟试验。</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2.自动喷水灭火系统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⑴每月检查内容</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每月检查以下内容并同消防控制室值班人员共同</w:t>
      </w:r>
      <w:proofErr w:type="gramStart"/>
      <w:r>
        <w:rPr>
          <w:rFonts w:ascii="仿宋_GB2312" w:eastAsia="仿宋_GB2312" w:hAnsiTheme="minorEastAsia" w:cstheme="minorEastAsia" w:hint="eastAsia"/>
          <w:kern w:val="2"/>
          <w:sz w:val="30"/>
          <w:szCs w:val="30"/>
        </w:rPr>
        <w:t>做好维保记录</w:t>
      </w:r>
      <w:proofErr w:type="gramEnd"/>
      <w:r>
        <w:rPr>
          <w:rFonts w:ascii="仿宋_GB2312" w:eastAsia="仿宋_GB2312" w:hAnsiTheme="minorEastAsia" w:cstheme="minorEastAsia" w:hint="eastAsia"/>
          <w:kern w:val="2"/>
          <w:sz w:val="30"/>
          <w:szCs w:val="30"/>
        </w:rPr>
        <w:t>：</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①每月检查喷淋泵一主</w:t>
      </w:r>
      <w:proofErr w:type="gramStart"/>
      <w:r>
        <w:rPr>
          <w:rFonts w:ascii="仿宋_GB2312" w:eastAsia="仿宋_GB2312" w:hAnsiTheme="minorEastAsia" w:cstheme="minorEastAsia" w:hint="eastAsia"/>
          <w:kern w:val="2"/>
          <w:sz w:val="30"/>
          <w:szCs w:val="30"/>
        </w:rPr>
        <w:t>一</w:t>
      </w:r>
      <w:proofErr w:type="gramEnd"/>
      <w:r>
        <w:rPr>
          <w:rFonts w:ascii="仿宋_GB2312" w:eastAsia="仿宋_GB2312" w:hAnsiTheme="minorEastAsia" w:cstheme="minorEastAsia" w:hint="eastAsia"/>
          <w:kern w:val="2"/>
          <w:sz w:val="30"/>
          <w:szCs w:val="30"/>
        </w:rPr>
        <w:t>备的功能试验包括自然启动和遥控开泵、停泵等功能。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②每月试验稳压泵的功能。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③每月进行喷淋主泵的湿式自动报警阀的功能试验。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④每月进行喷淋系统水泵接合器的检查。</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⑤每月进行消防喷淋系统末端放水试验。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⑥每月测试系统各项连接联运或主控屏的讯号。</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⑦每月检查报警阀组外观、标志牌、压力表是否完整。</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⑧每月对报警阀的压力表进行检查，检查报警前、后压力表指示是否正常。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⑨每月抽检两层楼的喷淋喷头，检查喷头的清洁度、无有损坏、锈蚀、漏水现象，发现有不正常的喷头应及时更换（各种不同规格的喷头均应有一定数量的备用品，其数量不应小于安装总</w:t>
      </w:r>
      <w:r>
        <w:rPr>
          <w:rFonts w:ascii="仿宋_GB2312" w:eastAsia="仿宋_GB2312" w:hAnsiTheme="minorEastAsia" w:cstheme="minorEastAsia" w:hint="eastAsia"/>
          <w:kern w:val="2"/>
          <w:sz w:val="30"/>
          <w:szCs w:val="30"/>
        </w:rPr>
        <w:lastRenderedPageBreak/>
        <w:t>数的1%，且每种备用喷头不应少于10个）。</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⑩配合完成其他测试，如：测试以上未列的组合及部分的功能、讯号。</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⑵每季度检查内容</w:t>
      </w:r>
    </w:p>
    <w:p w:rsidR="00E26213" w:rsidRDefault="00B362BB">
      <w:pPr>
        <w:spacing w:line="360" w:lineRule="auto"/>
        <w:ind w:firstLineChars="200" w:firstLine="600"/>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每季度检查以下内容并同消防控制室值班人员共同</w:t>
      </w:r>
      <w:proofErr w:type="gramStart"/>
      <w:r>
        <w:rPr>
          <w:rFonts w:ascii="仿宋_GB2312" w:eastAsia="仿宋_GB2312" w:hAnsiTheme="minorEastAsia" w:cstheme="minorEastAsia" w:hint="eastAsia"/>
          <w:kern w:val="2"/>
          <w:sz w:val="30"/>
          <w:szCs w:val="30"/>
        </w:rPr>
        <w:t>做好维保记录</w:t>
      </w:r>
      <w:proofErr w:type="gramEnd"/>
      <w:r>
        <w:rPr>
          <w:rFonts w:ascii="仿宋_GB2312" w:eastAsia="仿宋_GB2312" w:hAnsiTheme="minorEastAsia" w:cstheme="minorEastAsia" w:hint="eastAsia"/>
          <w:kern w:val="2"/>
          <w:sz w:val="30"/>
          <w:szCs w:val="30"/>
        </w:rPr>
        <w:t>：</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①每季度启动消防泵，测试自动情况下，管网阀门的严密性能、系统的供水能力和联动启动泵功能，同时试验主、备泵的供水情况。</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②每季度进行末端试水、屋顶消火栓出水试验，检查管网压力和水质。</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④每季度对报警阀应进行开阀试验，观察阀门开启性能和密封性能，以及报警各部件的工作状态是否正常。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⑤每季度应对报警阀旁的放水试验</w:t>
      </w:r>
      <w:proofErr w:type="gramStart"/>
      <w:r>
        <w:rPr>
          <w:rFonts w:ascii="仿宋_GB2312" w:eastAsia="仿宋_GB2312" w:hAnsiTheme="minorEastAsia" w:cstheme="minorEastAsia" w:hint="eastAsia"/>
          <w:kern w:val="2"/>
          <w:sz w:val="30"/>
          <w:szCs w:val="30"/>
        </w:rPr>
        <w:t>阀进行</w:t>
      </w:r>
      <w:proofErr w:type="gramEnd"/>
      <w:r>
        <w:rPr>
          <w:rFonts w:ascii="仿宋_GB2312" w:eastAsia="仿宋_GB2312" w:hAnsiTheme="minorEastAsia" w:cstheme="minorEastAsia" w:hint="eastAsia"/>
          <w:kern w:val="2"/>
          <w:sz w:val="30"/>
          <w:szCs w:val="30"/>
        </w:rPr>
        <w:t>一次放水试验，验证系统的供水能力，压力开关的报警功能是否正常。</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3.消火栓系统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⑴总体要求</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①每月进行消火泵一主</w:t>
      </w:r>
      <w:proofErr w:type="gramStart"/>
      <w:r>
        <w:rPr>
          <w:rFonts w:ascii="仿宋_GB2312" w:eastAsia="仿宋_GB2312" w:hAnsiTheme="minorEastAsia" w:cstheme="minorEastAsia" w:hint="eastAsia"/>
          <w:kern w:val="2"/>
          <w:sz w:val="30"/>
          <w:szCs w:val="30"/>
        </w:rPr>
        <w:t>一</w:t>
      </w:r>
      <w:proofErr w:type="gramEnd"/>
      <w:r>
        <w:rPr>
          <w:rFonts w:ascii="仿宋_GB2312" w:eastAsia="仿宋_GB2312" w:hAnsiTheme="minorEastAsia" w:cstheme="minorEastAsia" w:hint="eastAsia"/>
          <w:kern w:val="2"/>
          <w:sz w:val="30"/>
          <w:szCs w:val="30"/>
        </w:rPr>
        <w:t>备的功能试验，测试内容包括自然启动、遥控开泵和停泵等功能。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②每月检查消火栓箱手动按钮和警铃。</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③每月检查消火栓水压。</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④每月进行消火栓末端放水试验。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lastRenderedPageBreak/>
        <w:t>⑤每月对消火栓系统水泵</w:t>
      </w:r>
      <w:proofErr w:type="gramStart"/>
      <w:r>
        <w:rPr>
          <w:rFonts w:ascii="仿宋_GB2312" w:eastAsia="仿宋_GB2312" w:hAnsiTheme="minorEastAsia" w:cstheme="minorEastAsia" w:hint="eastAsia"/>
          <w:kern w:val="2"/>
          <w:sz w:val="30"/>
          <w:szCs w:val="30"/>
        </w:rPr>
        <w:t>结合器</w:t>
      </w:r>
      <w:proofErr w:type="gramEnd"/>
      <w:r>
        <w:rPr>
          <w:rFonts w:ascii="仿宋_GB2312" w:eastAsia="仿宋_GB2312" w:hAnsiTheme="minorEastAsia" w:cstheme="minorEastAsia" w:hint="eastAsia"/>
          <w:kern w:val="2"/>
          <w:sz w:val="30"/>
          <w:szCs w:val="30"/>
        </w:rPr>
        <w:t>进行检查和保养。</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⑥每月测试系统各项连接联营或主控屏的讯号。</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⑦配合完成其他测试，如：测试以上未列的组合及构成部分功能、讯号、年度模拟火警消火栓综合试验等。</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⑵室内消火栓</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①每月抽检两层楼的室内消火栓，确保消火栓周围没有障碍物阻挡，取用方便。</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②确保消火栓外观整洁、标示清晰、无机械损伤及严重腐蚀。检查消火栓箱的水枪、水带等设备是否完备配套，水龙带有无霉腐，手动报警按钮工作状态是否正常。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③检查抽检的消火栓有无生锈漏水现象，</w:t>
      </w:r>
      <w:proofErr w:type="gramStart"/>
      <w:r>
        <w:rPr>
          <w:rFonts w:ascii="仿宋_GB2312" w:eastAsia="仿宋_GB2312" w:hAnsiTheme="minorEastAsia" w:cstheme="minorEastAsia" w:hint="eastAsia"/>
          <w:kern w:val="2"/>
          <w:sz w:val="30"/>
          <w:szCs w:val="30"/>
        </w:rPr>
        <w:t>栓</w:t>
      </w:r>
      <w:proofErr w:type="gramEnd"/>
      <w:r>
        <w:rPr>
          <w:rFonts w:ascii="仿宋_GB2312" w:eastAsia="仿宋_GB2312" w:hAnsiTheme="minorEastAsia" w:cstheme="minorEastAsia" w:hint="eastAsia"/>
          <w:kern w:val="2"/>
          <w:sz w:val="30"/>
          <w:szCs w:val="30"/>
        </w:rPr>
        <w:t>口的橡胶垫圈等密封件有无损坏或丢失，消火栓</w:t>
      </w:r>
      <w:proofErr w:type="gramStart"/>
      <w:r>
        <w:rPr>
          <w:rFonts w:ascii="仿宋_GB2312" w:eastAsia="仿宋_GB2312" w:hAnsiTheme="minorEastAsia" w:cstheme="minorEastAsia" w:hint="eastAsia"/>
          <w:kern w:val="2"/>
          <w:sz w:val="30"/>
          <w:szCs w:val="30"/>
        </w:rPr>
        <w:t>的闸阔开启</w:t>
      </w:r>
      <w:proofErr w:type="gramEnd"/>
      <w:r>
        <w:rPr>
          <w:rFonts w:ascii="仿宋_GB2312" w:eastAsia="仿宋_GB2312" w:hAnsiTheme="minorEastAsia" w:cstheme="minorEastAsia" w:hint="eastAsia"/>
          <w:kern w:val="2"/>
          <w:sz w:val="30"/>
          <w:szCs w:val="30"/>
        </w:rPr>
        <w:t>是否灵活。</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③抽查消火栓的出水情况，对重点部位的消火栓每年应逐个进行出水检查：对非重点部位的消火栓可按消火栓总数10%～20%进行出水抽测实验。</w:t>
      </w:r>
      <w:proofErr w:type="gramStart"/>
      <w:r>
        <w:rPr>
          <w:rFonts w:ascii="仿宋_GB2312" w:eastAsia="仿宋_GB2312" w:hAnsiTheme="minorEastAsia" w:cstheme="minorEastAsia" w:hint="eastAsia"/>
          <w:kern w:val="2"/>
          <w:sz w:val="30"/>
          <w:szCs w:val="30"/>
        </w:rPr>
        <w:t>连接水</w:t>
      </w:r>
      <w:proofErr w:type="gramEnd"/>
      <w:r>
        <w:rPr>
          <w:rFonts w:ascii="仿宋_GB2312" w:eastAsia="仿宋_GB2312" w:hAnsiTheme="minorEastAsia" w:cstheme="minorEastAsia" w:hint="eastAsia"/>
          <w:kern w:val="2"/>
          <w:sz w:val="30"/>
          <w:szCs w:val="30"/>
        </w:rPr>
        <w:t>带、水枪，触发启泵按钮，查看消防泵启动和信号显示。</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④观察室内消火栓系统与消防给水系统的联动情况，消防水池、水箱的水位情况，发现不足应及时补充。</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⑶室外消火栓</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①每季度用专用扳手转动消火栓启闭杆，观察其灵活性。</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②每季度检查出水口闷盖是否密封，有无缺损。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③每季度检查栓体外表油漆有无剥落，有无锈蚀，如有应及</w:t>
      </w:r>
      <w:r>
        <w:rPr>
          <w:rFonts w:ascii="仿宋_GB2312" w:eastAsia="仿宋_GB2312" w:hAnsiTheme="minorEastAsia" w:cstheme="minorEastAsia" w:hint="eastAsia"/>
          <w:kern w:val="2"/>
          <w:sz w:val="30"/>
          <w:szCs w:val="30"/>
        </w:rPr>
        <w:lastRenderedPageBreak/>
        <w:t>时修补。</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④每年开春后入冬前对地上消火栓逐一进行出水试验。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⑤定期检查消火栓前端阀门井。</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⑥保持配套器材的完备有效。</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4.可燃气体探测报警系统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⑴总体要求</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①每季度应对所有的火灾探测器采用抽测的方式进行测试，一年内将所有火灾探测器测试一遍。</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②测试中应核对火灾探测器的地址是否正确。</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③对测试过的火灾探测器做地址记录,以免在下期测试中重复测试同一个点。</w:t>
      </w:r>
    </w:p>
    <w:p w:rsidR="00E26213" w:rsidRDefault="00B362BB">
      <w:pPr>
        <w:spacing w:line="360" w:lineRule="auto"/>
        <w:ind w:firstLineChars="200" w:firstLine="600"/>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④在测试过程中,应对火灾探测器报警的迟缓程度进行记录。</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⑤对于探测装置因环境条件的改变，而不能适用时，应通过设计、施工部门及时更换。</w:t>
      </w:r>
    </w:p>
    <w:p w:rsidR="00E26213" w:rsidRDefault="00B362BB">
      <w:pPr>
        <w:spacing w:line="360" w:lineRule="auto"/>
        <w:ind w:firstLineChars="200" w:firstLine="600"/>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⑥定期对火灾探测器进行清洗保养。</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⑵特别要求</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①每月抽检两层楼的点型感烟探测器，查看探测器报警确认灯、以及火灾报警控制器的火警信号显示情况。</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②每月抽检两层楼的点型感温探测器，查看探测器报警确认灯和火灾报警控制器火警信号显示；</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③每月测试报警控制器手动复位，报警确认灯在复位前后的变化情况。</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lastRenderedPageBreak/>
        <w:t>5.消防给水系统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⑴消防水池</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①每月查看消防水池水位及消防用水不被他用的状况。</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②每月查看补水设施。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③每年对水源的供水能力进行一次测定。</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⑵消防管路系统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对消防管路系统进行外观检查：检查管道有无机械损伤、油漆脱落、锈蚀等，管道固定是否牢固，发现问题（系统管道中，可能因施工疏忽残留有砂、石、木屑或水源带来的垃圾、铁锈等，造成喷头堵塞、报警阀关闭不严、水力警铃输水管堵塞等）应及时处理。</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②每月观察稳压泵的启动频率，确定管网有无渗漏现象。</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③每季度需对不少于20%的管道末端进行放水，确保管道的水质良好，并对水流指示器的报警功能进行检查。</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⑶稳压泵及气压水罐</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①每月打开排气阀，检查是否能够自动加压。</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②每月打开试验排水阀，检查减水时能否自动供水，加压装置及供水装置压力表是否显示正常。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⑷电控柜</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①每月对电控柜进行外观检查：检查控制柜有无变形、损伤、腐蚀。</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②每月检查电控柜电压、电流表的指标是否在规定的范围。</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lastRenderedPageBreak/>
        <w:t>③每月检查电控柜开关是否有变形、损伤、标志脱落、处于正常状态。</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④每月检查电控柜继电器、控制盘的指示灯是否脱落、松动，接点是否烧损，转换开关应处于自动状态。</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⑤每月检查电控柜各导线连接处是否松脱，绝缘是否损伤。</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6.气体灭火系统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①每月检测控制屏的功能情况、气瓶压力是否正常。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②每月检测气瓶的压力是否达到规范要求，有无泄漏现象。钢瓶应无明显碰撞变型，缺陷。</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③每月检查试验手动和自动放气装置是否正常。</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④每季度模拟进行烟、温感探测器动作，是否有放气信号，铃、蜂鸣器是否动作灵敏。模拟自动试验：</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a.灭火系统接到火警指令后可靠正常地启动、喷射。</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b.在报警、喷射各阶段，防护区有正常的声、光报警信号。</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c.有关的联动设备动作正常。</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7.应急照明、疏散指示系统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①抽检两层楼的安全出口疏散指示标志、重要场所的应急照明或疏散指示标志，有损坏情况，应及时修复。</w:t>
      </w:r>
    </w:p>
    <w:p w:rsidR="00E26213" w:rsidRDefault="00B362BB">
      <w:pPr>
        <w:spacing w:line="360" w:lineRule="auto"/>
        <w:ind w:firstLineChars="200" w:firstLine="600"/>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②不定期巡查和试验应急照明和疏散指示灯的工作照度和疏散照度，发现故障立即维修更换。</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8.消防应急广播与通讯系统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①每月检查电话插孔、重要场所的对讲电话、播音设备、扬</w:t>
      </w:r>
      <w:r>
        <w:rPr>
          <w:rFonts w:ascii="仿宋_GB2312" w:eastAsia="仿宋_GB2312" w:hAnsiTheme="minorEastAsia" w:cstheme="minorEastAsia" w:hint="eastAsia"/>
          <w:kern w:val="2"/>
          <w:sz w:val="30"/>
          <w:szCs w:val="30"/>
        </w:rPr>
        <w:lastRenderedPageBreak/>
        <w:t>声器等是否处于正常完好状态。</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②每季度检查试验电话插孔和对讲电话的通话质量。</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③每季度检查试验分层广播。</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④每季度模拟</w:t>
      </w:r>
      <w:proofErr w:type="gramStart"/>
      <w:r>
        <w:rPr>
          <w:rFonts w:ascii="仿宋_GB2312" w:eastAsia="仿宋_GB2312" w:hAnsiTheme="minorEastAsia" w:cstheme="minorEastAsia" w:hint="eastAsia"/>
          <w:kern w:val="2"/>
          <w:sz w:val="30"/>
          <w:szCs w:val="30"/>
        </w:rPr>
        <w:t>火警消防</w:t>
      </w:r>
      <w:proofErr w:type="gramEnd"/>
      <w:r>
        <w:rPr>
          <w:rFonts w:ascii="仿宋_GB2312" w:eastAsia="仿宋_GB2312" w:hAnsiTheme="minorEastAsia" w:cstheme="minorEastAsia" w:hint="eastAsia"/>
          <w:kern w:val="2"/>
          <w:sz w:val="30"/>
          <w:szCs w:val="30"/>
        </w:rPr>
        <w:t>广播及电话系统联动功能试验。</w:t>
      </w:r>
    </w:p>
    <w:p w:rsidR="00E26213" w:rsidRDefault="00B362BB">
      <w:pPr>
        <w:spacing w:line="360" w:lineRule="auto"/>
        <w:ind w:firstLineChars="200" w:firstLine="602"/>
        <w:jc w:val="left"/>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sz w:val="30"/>
          <w:szCs w:val="30"/>
        </w:rPr>
        <w:t>9.</w:t>
      </w:r>
      <w:r>
        <w:rPr>
          <w:rFonts w:ascii="仿宋_GB2312" w:eastAsia="仿宋_GB2312" w:hAnsiTheme="minorEastAsia" w:cstheme="minorEastAsia" w:hint="eastAsia"/>
          <w:b/>
          <w:bCs/>
          <w:kern w:val="2"/>
          <w:sz w:val="30"/>
          <w:szCs w:val="30"/>
        </w:rPr>
        <w:t>防火分隔系统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巡查各防火卷帘门状态，手动开关有否破损；</w:t>
      </w:r>
    </w:p>
    <w:p w:rsidR="00E26213" w:rsidRDefault="00B362BB">
      <w:pPr>
        <w:spacing w:line="360" w:lineRule="auto"/>
        <w:ind w:firstLineChars="200" w:firstLine="602"/>
        <w:jc w:val="left"/>
        <w:outlineLvl w:val="0"/>
        <w:rPr>
          <w:rFonts w:ascii="仿宋_GB2312" w:eastAsia="仿宋_GB2312" w:hAnsiTheme="minorEastAsia" w:cstheme="minorEastAsia"/>
          <w:b/>
          <w:bCs/>
          <w:sz w:val="30"/>
          <w:szCs w:val="30"/>
        </w:rPr>
      </w:pPr>
      <w:r>
        <w:rPr>
          <w:rFonts w:ascii="仿宋_GB2312" w:eastAsia="仿宋_GB2312" w:hAnsiTheme="minorEastAsia" w:cstheme="minorEastAsia" w:hint="eastAsia"/>
          <w:b/>
          <w:bCs/>
          <w:sz w:val="30"/>
          <w:szCs w:val="30"/>
        </w:rPr>
        <w:t>10.防排烟系统</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（1）每月检查送风、排烟机房工作环境以及送风机、排烟机、电源控制柜、送风阀、排烟阀等是否处于正常完好状态。</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（2）每半年手动或自动打开排烟阀、启/停送风机、排烟机查看其性能。</w:t>
      </w:r>
    </w:p>
    <w:p w:rsidR="00E26213"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Pr>
          <w:rFonts w:ascii="仿宋_GB2312" w:eastAsia="仿宋_GB2312" w:hAnsiTheme="minorEastAsia" w:cstheme="minorEastAsia" w:hint="eastAsia"/>
          <w:kern w:val="2"/>
          <w:sz w:val="30"/>
          <w:szCs w:val="30"/>
        </w:rPr>
        <w:t>（3）每半年手动或自动方式关闭空调通风系统、电动防火阀试验，检查其性能。</w:t>
      </w:r>
    </w:p>
    <w:p w:rsidR="00E26213" w:rsidRDefault="00B362BB">
      <w:pPr>
        <w:spacing w:line="360" w:lineRule="auto"/>
        <w:outlineLvl w:val="0"/>
        <w:rPr>
          <w:rFonts w:ascii="仿宋_GB2312" w:eastAsia="仿宋_GB2312" w:hAnsiTheme="minorEastAsia" w:cstheme="minorEastAsia"/>
          <w:b/>
          <w:bCs/>
          <w:kern w:val="2"/>
          <w:sz w:val="30"/>
          <w:szCs w:val="30"/>
        </w:rPr>
      </w:pPr>
      <w:r>
        <w:rPr>
          <w:rFonts w:ascii="仿宋_GB2312" w:eastAsia="仿宋_GB2312" w:hAnsiTheme="minorEastAsia" w:cstheme="minorEastAsia" w:hint="eastAsia"/>
          <w:b/>
          <w:bCs/>
          <w:kern w:val="2"/>
          <w:sz w:val="30"/>
          <w:szCs w:val="30"/>
        </w:rPr>
        <w:t>九、其它服务细则</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1真实提供系统运行检查报告，不得隐瞒安全隐患，并向院方提出应采取的措施。发现问题未及时上报造成严重后果的，</w:t>
      </w:r>
      <w:proofErr w:type="gramStart"/>
      <w:r w:rsidRPr="00170FD0">
        <w:rPr>
          <w:rFonts w:ascii="仿宋_GB2312" w:eastAsia="仿宋_GB2312" w:hAnsiTheme="minorEastAsia" w:cstheme="minorEastAsia" w:hint="eastAsia"/>
          <w:kern w:val="2"/>
          <w:sz w:val="30"/>
          <w:szCs w:val="30"/>
        </w:rPr>
        <w:t>由维保公司</w:t>
      </w:r>
      <w:proofErr w:type="gramEnd"/>
      <w:r w:rsidRPr="00170FD0">
        <w:rPr>
          <w:rFonts w:ascii="仿宋_GB2312" w:eastAsia="仿宋_GB2312" w:hAnsiTheme="minorEastAsia" w:cstheme="minorEastAsia" w:hint="eastAsia"/>
          <w:kern w:val="2"/>
          <w:sz w:val="30"/>
          <w:szCs w:val="30"/>
        </w:rPr>
        <w:t>承担全部损失，并扣除一个月维保费。</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2.应积极响应院方定期维护外的临时的设备故障和系统运行异常的检修要求。院方如发现设备故障和系统运行异常联系临时检修时，应在4小时内开展消防设施维修，维修一般应在24小时内完成（特殊情况除外）。维修期间应采取确保消防安全的有效措施。故障排除后维护保养单位应进行相应功能试验。</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lastRenderedPageBreak/>
        <w:t>3.在维护过程中，发现设备老化、损坏等严重问题时，应于发现问题后1日内书面通知院方，并提交建议方案供院方选择。</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4.在</w:t>
      </w:r>
      <w:proofErr w:type="gramStart"/>
      <w:r w:rsidRPr="00170FD0">
        <w:rPr>
          <w:rFonts w:ascii="仿宋_GB2312" w:eastAsia="仿宋_GB2312" w:hAnsiTheme="minorEastAsia" w:cstheme="minorEastAsia" w:hint="eastAsia"/>
          <w:kern w:val="2"/>
          <w:sz w:val="30"/>
          <w:szCs w:val="30"/>
        </w:rPr>
        <w:t>维保合同</w:t>
      </w:r>
      <w:proofErr w:type="gramEnd"/>
      <w:r w:rsidRPr="00170FD0">
        <w:rPr>
          <w:rFonts w:ascii="仿宋_GB2312" w:eastAsia="仿宋_GB2312" w:hAnsiTheme="minorEastAsia" w:cstheme="minorEastAsia" w:hint="eastAsia"/>
          <w:kern w:val="2"/>
          <w:sz w:val="30"/>
          <w:szCs w:val="30"/>
        </w:rPr>
        <w:t>有效期内随时提供相关技术咨询，对消控人员及有关技术人员进行消防系统紧急故障及日常使用中常见故障的处理与系统原理等的培训。</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5.对</w:t>
      </w:r>
      <w:proofErr w:type="gramStart"/>
      <w:r w:rsidRPr="00170FD0">
        <w:rPr>
          <w:rFonts w:ascii="仿宋_GB2312" w:eastAsia="仿宋_GB2312" w:hAnsiTheme="minorEastAsia" w:cstheme="minorEastAsia" w:hint="eastAsia"/>
          <w:kern w:val="2"/>
          <w:sz w:val="30"/>
          <w:szCs w:val="30"/>
        </w:rPr>
        <w:t>维保内容</w:t>
      </w:r>
      <w:proofErr w:type="gramEnd"/>
      <w:r w:rsidRPr="00170FD0">
        <w:rPr>
          <w:rFonts w:ascii="仿宋_GB2312" w:eastAsia="仿宋_GB2312" w:hAnsiTheme="minorEastAsia" w:cstheme="minorEastAsia" w:hint="eastAsia"/>
          <w:kern w:val="2"/>
          <w:sz w:val="30"/>
          <w:szCs w:val="30"/>
        </w:rPr>
        <w:t>进行全面检查测试，确保</w:t>
      </w:r>
      <w:proofErr w:type="gramStart"/>
      <w:r w:rsidRPr="00170FD0">
        <w:rPr>
          <w:rFonts w:ascii="仿宋_GB2312" w:eastAsia="仿宋_GB2312" w:hAnsiTheme="minorEastAsia" w:cstheme="minorEastAsia" w:hint="eastAsia"/>
          <w:kern w:val="2"/>
          <w:sz w:val="30"/>
          <w:szCs w:val="30"/>
        </w:rPr>
        <w:t>所维保</w:t>
      </w:r>
      <w:proofErr w:type="gramEnd"/>
      <w:r w:rsidRPr="00170FD0">
        <w:rPr>
          <w:rFonts w:ascii="仿宋_GB2312" w:eastAsia="仿宋_GB2312" w:hAnsiTheme="minorEastAsia" w:cstheme="minorEastAsia" w:hint="eastAsia"/>
          <w:kern w:val="2"/>
          <w:sz w:val="30"/>
          <w:szCs w:val="30"/>
        </w:rPr>
        <w:t>项目完整无遗漏、无安全隐患，积极配合院方</w:t>
      </w:r>
      <w:proofErr w:type="gramStart"/>
      <w:r w:rsidRPr="00170FD0">
        <w:rPr>
          <w:rFonts w:ascii="仿宋_GB2312" w:eastAsia="仿宋_GB2312" w:hAnsiTheme="minorEastAsia" w:cstheme="minorEastAsia" w:hint="eastAsia"/>
          <w:kern w:val="2"/>
          <w:sz w:val="30"/>
          <w:szCs w:val="30"/>
        </w:rPr>
        <w:t>提供维保记录</w:t>
      </w:r>
      <w:proofErr w:type="gramEnd"/>
      <w:r w:rsidRPr="00170FD0">
        <w:rPr>
          <w:rFonts w:ascii="仿宋_GB2312" w:eastAsia="仿宋_GB2312" w:hAnsiTheme="minorEastAsia" w:cstheme="minorEastAsia" w:hint="eastAsia"/>
          <w:kern w:val="2"/>
          <w:sz w:val="30"/>
          <w:szCs w:val="30"/>
        </w:rPr>
        <w:t>、报告，如设备运行不良，经确认属维修保养</w:t>
      </w:r>
      <w:proofErr w:type="gramStart"/>
      <w:r w:rsidRPr="00170FD0">
        <w:rPr>
          <w:rFonts w:ascii="仿宋_GB2312" w:eastAsia="仿宋_GB2312" w:hAnsiTheme="minorEastAsia" w:cstheme="minorEastAsia" w:hint="eastAsia"/>
          <w:kern w:val="2"/>
          <w:sz w:val="30"/>
          <w:szCs w:val="30"/>
        </w:rPr>
        <w:t>单位维保不</w:t>
      </w:r>
      <w:proofErr w:type="gramEnd"/>
      <w:r w:rsidRPr="00170FD0">
        <w:rPr>
          <w:rFonts w:ascii="仿宋_GB2312" w:eastAsia="仿宋_GB2312" w:hAnsiTheme="minorEastAsia" w:cstheme="minorEastAsia" w:hint="eastAsia"/>
          <w:kern w:val="2"/>
          <w:sz w:val="30"/>
          <w:szCs w:val="30"/>
        </w:rPr>
        <w:t>到位而造成的损失，在维保费用范围内由维修保养单位承担。</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6.遇上级部门检查时，维修保养单位需要派专业技术人员到现场配合检查，根据检查要求，提前做好迎检准备，同时协同完成检查全过程。</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7.维修保养单位全力配合院方组织的消防演练，并协助院方通过消防部门的例行检查。</w:t>
      </w:r>
    </w:p>
    <w:p w:rsidR="00E26213" w:rsidRPr="00170FD0" w:rsidRDefault="00B362BB">
      <w:pPr>
        <w:spacing w:line="360" w:lineRule="auto"/>
        <w:ind w:firstLineChars="200" w:firstLine="600"/>
        <w:jc w:val="left"/>
        <w:outlineLvl w:val="0"/>
        <w:rPr>
          <w:rFonts w:ascii="仿宋_GB2312" w:eastAsia="仿宋_GB2312" w:hAnsiTheme="minorEastAsia" w:cstheme="minorEastAsia"/>
          <w:kern w:val="2"/>
          <w:sz w:val="30"/>
          <w:szCs w:val="30"/>
        </w:rPr>
      </w:pPr>
      <w:r w:rsidRPr="00170FD0">
        <w:rPr>
          <w:rFonts w:ascii="仿宋_GB2312" w:eastAsia="仿宋_GB2312" w:hAnsiTheme="minorEastAsia" w:cstheme="minorEastAsia" w:hint="eastAsia"/>
          <w:kern w:val="2"/>
          <w:sz w:val="30"/>
          <w:szCs w:val="30"/>
        </w:rPr>
        <w:t>8.维修保养单位在维护保养期间负责各消防设备的清洁工作。</w:t>
      </w:r>
    </w:p>
    <w:p w:rsidR="00E26213" w:rsidRDefault="00B362BB">
      <w:pPr>
        <w:pStyle w:val="a7"/>
        <w:widowControl/>
        <w:shd w:val="clear" w:color="auto" w:fill="FFFFFF"/>
        <w:spacing w:before="0" w:beforeAutospacing="0" w:after="0" w:afterAutospacing="0" w:line="576" w:lineRule="exact"/>
        <w:ind w:firstLineChars="200" w:firstLine="640"/>
        <w:rPr>
          <w:rFonts w:ascii="黑体" w:eastAsia="黑体" w:hAnsi="黑体" w:cs="黑体"/>
          <w:color w:val="333333"/>
          <w:sz w:val="32"/>
          <w:szCs w:val="32"/>
        </w:rPr>
      </w:pPr>
      <w:r>
        <w:rPr>
          <w:rFonts w:ascii="黑体" w:eastAsia="黑体" w:hAnsi="黑体" w:cs="黑体" w:hint="eastAsia"/>
          <w:color w:val="000000"/>
          <w:sz w:val="32"/>
          <w:szCs w:val="32"/>
          <w:shd w:val="clear" w:color="auto" w:fill="FFFFFF"/>
        </w:rPr>
        <w:t>九、报名时间</w:t>
      </w:r>
    </w:p>
    <w:p w:rsidR="00E26213" w:rsidRDefault="00B362BB">
      <w:pPr>
        <w:pStyle w:val="a7"/>
        <w:widowControl/>
        <w:shd w:val="clear" w:color="auto" w:fill="FFFFFF"/>
        <w:spacing w:before="0" w:beforeAutospacing="0" w:after="0" w:afterAutospacing="0" w:line="576"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请有意向的供应商于2024年</w:t>
      </w:r>
      <w:r w:rsidR="00170FD0">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月</w:t>
      </w:r>
      <w:r w:rsidR="00835904">
        <w:rPr>
          <w:rFonts w:ascii="仿宋_GB2312" w:eastAsia="仿宋_GB2312" w:hAnsi="仿宋_GB2312" w:cs="仿宋_GB2312" w:hint="eastAsia"/>
          <w:color w:val="000000"/>
          <w:sz w:val="32"/>
          <w:szCs w:val="32"/>
          <w:shd w:val="clear" w:color="auto" w:fill="FFFFFF"/>
        </w:rPr>
        <w:t>18</w:t>
      </w:r>
      <w:r w:rsidR="00170FD0">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12：00前将资质资料和报价密封后提交至公立医院集团总务科（石棉县人民医院综合楼4楼）或邮寄方式。</w:t>
      </w:r>
    </w:p>
    <w:p w:rsidR="00E26213" w:rsidRDefault="00B362BB" w:rsidP="007C4E73">
      <w:pPr>
        <w:pStyle w:val="a7"/>
        <w:widowControl/>
        <w:shd w:val="clear" w:color="auto" w:fill="FFFFFF"/>
        <w:spacing w:before="0" w:beforeAutospacing="0" w:after="0" w:afterAutospacing="0" w:line="576" w:lineRule="exact"/>
        <w:ind w:leftChars="200" w:left="48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联系人：陈先生，电话0835-8881039。</w:t>
      </w:r>
    </w:p>
    <w:p w:rsidR="00E26213" w:rsidRDefault="00B362BB" w:rsidP="007C4E73">
      <w:pPr>
        <w:pStyle w:val="a7"/>
        <w:widowControl/>
        <w:shd w:val="clear" w:color="auto" w:fill="FFFFFF"/>
        <w:spacing w:before="0" w:beforeAutospacing="0" w:after="0" w:afterAutospacing="0" w:line="576" w:lineRule="exact"/>
        <w:ind w:leftChars="200" w:left="480"/>
        <w:jc w:val="right"/>
        <w:rPr>
          <w:rFonts w:ascii="仿宋_GB2312" w:eastAsia="仿宋_GB2312" w:hAnsi="仿宋_GB2312" w:cs="仿宋_GB2312"/>
          <w:color w:val="333333"/>
          <w:sz w:val="32"/>
          <w:szCs w:val="32"/>
        </w:rPr>
      </w:pPr>
      <w:r>
        <w:rPr>
          <w:rFonts w:ascii="仿宋_GB2312" w:eastAsia="仿宋_GB2312" w:hAnsi="仿宋_GB2312" w:cs="仿宋_GB2312"/>
          <w:color w:val="000000"/>
          <w:sz w:val="32"/>
          <w:szCs w:val="32"/>
          <w:shd w:val="clear" w:color="auto" w:fill="FFFFFF"/>
        </w:rPr>
        <w:t>2024年</w:t>
      </w:r>
      <w:r w:rsidR="00170FD0">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color w:val="000000"/>
          <w:sz w:val="32"/>
          <w:szCs w:val="32"/>
          <w:shd w:val="clear" w:color="auto" w:fill="FFFFFF"/>
        </w:rPr>
        <w:t>月</w:t>
      </w:r>
      <w:r w:rsidR="00835904">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color w:val="000000"/>
          <w:sz w:val="32"/>
          <w:szCs w:val="32"/>
          <w:shd w:val="clear" w:color="auto" w:fill="FFFFFF"/>
        </w:rPr>
        <w:t>日</w:t>
      </w:r>
    </w:p>
    <w:p w:rsidR="00E26213" w:rsidRDefault="00E26213">
      <w:pPr>
        <w:rPr>
          <w:rFonts w:ascii="仿宋_GB2312" w:eastAsia="仿宋_GB2312" w:hAnsiTheme="minorEastAsia" w:cstheme="minorEastAsia"/>
          <w:sz w:val="30"/>
          <w:szCs w:val="30"/>
        </w:rPr>
      </w:pPr>
    </w:p>
    <w:sectPr w:rsidR="00E26213" w:rsidSect="00E26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B4" w:rsidRDefault="007701B4" w:rsidP="00170FD0">
      <w:r>
        <w:separator/>
      </w:r>
    </w:p>
  </w:endnote>
  <w:endnote w:type="continuationSeparator" w:id="0">
    <w:p w:rsidR="007701B4" w:rsidRDefault="007701B4" w:rsidP="00170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B4" w:rsidRDefault="007701B4" w:rsidP="00170FD0">
      <w:r>
        <w:separator/>
      </w:r>
    </w:p>
  </w:footnote>
  <w:footnote w:type="continuationSeparator" w:id="0">
    <w:p w:rsidR="007701B4" w:rsidRDefault="007701B4" w:rsidP="00170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JiNWQyZjhmZWMxMWU2NGRkZWZjMDFjMzMxMWFiMmYifQ=="/>
  </w:docVars>
  <w:rsids>
    <w:rsidRoot w:val="2B0567F3"/>
    <w:rsid w:val="000804C8"/>
    <w:rsid w:val="000F45FA"/>
    <w:rsid w:val="001150E5"/>
    <w:rsid w:val="00170FD0"/>
    <w:rsid w:val="001C37F5"/>
    <w:rsid w:val="00272E68"/>
    <w:rsid w:val="003630AF"/>
    <w:rsid w:val="003C615F"/>
    <w:rsid w:val="00516D78"/>
    <w:rsid w:val="00545D01"/>
    <w:rsid w:val="00660C43"/>
    <w:rsid w:val="006756A9"/>
    <w:rsid w:val="006B5FDF"/>
    <w:rsid w:val="007701B4"/>
    <w:rsid w:val="007C4E73"/>
    <w:rsid w:val="00820AEE"/>
    <w:rsid w:val="00835904"/>
    <w:rsid w:val="00835F94"/>
    <w:rsid w:val="008C737F"/>
    <w:rsid w:val="008D191D"/>
    <w:rsid w:val="00920BDB"/>
    <w:rsid w:val="00934D2C"/>
    <w:rsid w:val="009D56A5"/>
    <w:rsid w:val="00A979E4"/>
    <w:rsid w:val="00B362BB"/>
    <w:rsid w:val="00B53EE1"/>
    <w:rsid w:val="00BB42C4"/>
    <w:rsid w:val="00CA78AE"/>
    <w:rsid w:val="00D20365"/>
    <w:rsid w:val="00D34FF2"/>
    <w:rsid w:val="00DE1A82"/>
    <w:rsid w:val="00E26213"/>
    <w:rsid w:val="00EC046E"/>
    <w:rsid w:val="05AF51E1"/>
    <w:rsid w:val="2B0567F3"/>
    <w:rsid w:val="3BF57152"/>
    <w:rsid w:val="46A92B0D"/>
    <w:rsid w:val="52946B98"/>
    <w:rsid w:val="52E95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Body Text First Indent" w:qFormat="1"/>
    <w:lsdException w:name="Body Text 3"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26213"/>
    <w:pPr>
      <w:widowControl w:val="0"/>
      <w:jc w:val="both"/>
    </w:pPr>
    <w:rPr>
      <w:rFonts w:ascii="宋体" w:hAnsi="宋体"/>
      <w:sz w:val="24"/>
    </w:rPr>
  </w:style>
  <w:style w:type="paragraph" w:styleId="1">
    <w:name w:val="heading 1"/>
    <w:basedOn w:val="a"/>
    <w:next w:val="a"/>
    <w:autoRedefine/>
    <w:qFormat/>
    <w:rsid w:val="00E26213"/>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rsid w:val="00E26213"/>
    <w:pPr>
      <w:spacing w:after="120"/>
    </w:pPr>
    <w:rPr>
      <w:sz w:val="16"/>
      <w:szCs w:val="16"/>
    </w:rPr>
  </w:style>
  <w:style w:type="paragraph" w:styleId="a3">
    <w:name w:val="Body Text"/>
    <w:basedOn w:val="a"/>
    <w:next w:val="a4"/>
    <w:unhideWhenUsed/>
    <w:qFormat/>
    <w:rsid w:val="00E26213"/>
    <w:pPr>
      <w:spacing w:after="120"/>
    </w:pPr>
  </w:style>
  <w:style w:type="paragraph" w:styleId="a4">
    <w:name w:val="Body Text First Indent"/>
    <w:basedOn w:val="a3"/>
    <w:qFormat/>
    <w:rsid w:val="00E26213"/>
    <w:pPr>
      <w:ind w:firstLineChars="100" w:firstLine="420"/>
    </w:pPr>
  </w:style>
  <w:style w:type="paragraph" w:styleId="a5">
    <w:name w:val="footer"/>
    <w:basedOn w:val="a"/>
    <w:link w:val="Char"/>
    <w:qFormat/>
    <w:rsid w:val="00E26213"/>
    <w:pPr>
      <w:tabs>
        <w:tab w:val="center" w:pos="4153"/>
        <w:tab w:val="right" w:pos="8306"/>
      </w:tabs>
      <w:snapToGrid w:val="0"/>
      <w:jc w:val="left"/>
    </w:pPr>
    <w:rPr>
      <w:sz w:val="18"/>
      <w:szCs w:val="18"/>
    </w:rPr>
  </w:style>
  <w:style w:type="paragraph" w:styleId="a6">
    <w:name w:val="header"/>
    <w:basedOn w:val="a"/>
    <w:link w:val="Char0"/>
    <w:qFormat/>
    <w:rsid w:val="00E2621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26213"/>
  </w:style>
  <w:style w:type="paragraph" w:styleId="a7">
    <w:name w:val="Normal (Web)"/>
    <w:basedOn w:val="a"/>
    <w:qFormat/>
    <w:rsid w:val="00E26213"/>
    <w:pPr>
      <w:spacing w:before="100" w:beforeAutospacing="1" w:after="100" w:afterAutospacing="1"/>
      <w:jc w:val="left"/>
    </w:pPr>
    <w:rPr>
      <w:rFonts w:ascii="Calibri" w:hAnsi="Calibri"/>
      <w:szCs w:val="24"/>
    </w:rPr>
  </w:style>
  <w:style w:type="character" w:styleId="a8">
    <w:name w:val="Strong"/>
    <w:basedOn w:val="a0"/>
    <w:qFormat/>
    <w:rsid w:val="00E26213"/>
    <w:rPr>
      <w:b/>
    </w:rPr>
  </w:style>
  <w:style w:type="character" w:styleId="a9">
    <w:name w:val="Hyperlink"/>
    <w:basedOn w:val="a0"/>
    <w:uiPriority w:val="99"/>
    <w:qFormat/>
    <w:rsid w:val="00E26213"/>
    <w:rPr>
      <w:color w:val="0000FF"/>
      <w:u w:val="single"/>
    </w:rPr>
  </w:style>
  <w:style w:type="character" w:customStyle="1" w:styleId="Char0">
    <w:name w:val="页眉 Char"/>
    <w:basedOn w:val="a0"/>
    <w:link w:val="a6"/>
    <w:qFormat/>
    <w:rsid w:val="00E26213"/>
    <w:rPr>
      <w:rFonts w:ascii="宋体" w:hAnsi="宋体"/>
      <w:sz w:val="18"/>
      <w:szCs w:val="18"/>
    </w:rPr>
  </w:style>
  <w:style w:type="character" w:customStyle="1" w:styleId="Char">
    <w:name w:val="页脚 Char"/>
    <w:basedOn w:val="a0"/>
    <w:link w:val="a5"/>
    <w:qFormat/>
    <w:rsid w:val="00E26213"/>
    <w:rPr>
      <w:rFonts w:ascii="宋体" w:hAnsi="宋体"/>
      <w:sz w:val="18"/>
      <w:szCs w:val="18"/>
    </w:rPr>
  </w:style>
  <w:style w:type="paragraph" w:customStyle="1" w:styleId="-11">
    <w:name w:val="彩色列表 - 强调文字颜色 11"/>
    <w:basedOn w:val="a"/>
    <w:uiPriority w:val="34"/>
    <w:qFormat/>
    <w:rsid w:val="00E26213"/>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773</Words>
  <Characters>4411</Characters>
  <Application>Microsoft Office Word</Application>
  <DocSecurity>0</DocSecurity>
  <Lines>36</Lines>
  <Paragraphs>10</Paragraphs>
  <ScaleCrop>false</ScaleCrop>
  <Company>Microsoft</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王丽</cp:lastModifiedBy>
  <cp:revision>5</cp:revision>
  <dcterms:created xsi:type="dcterms:W3CDTF">2024-06-05T05:24:00Z</dcterms:created>
  <dcterms:modified xsi:type="dcterms:W3CDTF">2024-06-12T06:51:00Z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83D446D9CDAB45EB9ABF1F615FCCB401_13</vt:lpwstr>
  </property>
</Properties>
</file>